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A7" w:rsidRPr="00830A4A" w:rsidRDefault="003516A7" w:rsidP="003516A7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4548" w:type="dxa"/>
        <w:tblLook w:val="01E0"/>
      </w:tblPr>
      <w:tblGrid>
        <w:gridCol w:w="4548"/>
      </w:tblGrid>
      <w:tr w:rsidR="003516A7" w:rsidRPr="003516A7" w:rsidTr="00412D21">
        <w:tc>
          <w:tcPr>
            <w:tcW w:w="4548" w:type="dxa"/>
            <w:hideMark/>
          </w:tcPr>
          <w:p w:rsidR="003516A7" w:rsidRPr="003516A7" w:rsidRDefault="003516A7" w:rsidP="00412D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6A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41630" cy="580390"/>
                  <wp:effectExtent l="19050" t="0" r="1270" b="0"/>
                  <wp:docPr id="1" name="Picture 1" descr="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58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6A7" w:rsidRPr="003516A7" w:rsidTr="00412D21">
        <w:trPr>
          <w:trHeight w:val="2183"/>
        </w:trPr>
        <w:tc>
          <w:tcPr>
            <w:tcW w:w="4548" w:type="dxa"/>
            <w:hideMark/>
          </w:tcPr>
          <w:p w:rsidR="003516A7" w:rsidRPr="003516A7" w:rsidRDefault="003516A7" w:rsidP="00412D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16A7">
              <w:rPr>
                <w:rFonts w:ascii="Times New Roman" w:hAnsi="Times New Roman"/>
                <w:sz w:val="24"/>
                <w:szCs w:val="24"/>
                <w:lang w:val="ru-RU"/>
              </w:rPr>
              <w:t>Република Србија</w:t>
            </w:r>
          </w:p>
          <w:p w:rsidR="003516A7" w:rsidRPr="003516A7" w:rsidRDefault="003516A7" w:rsidP="00412D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16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МИНИСТАРСТВО </w:t>
            </w:r>
          </w:p>
          <w:p w:rsidR="003516A7" w:rsidRPr="003516A7" w:rsidRDefault="003516A7" w:rsidP="00412D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16A7">
              <w:rPr>
                <w:rFonts w:ascii="Times New Roman" w:hAnsi="Times New Roman"/>
                <w:sz w:val="24"/>
                <w:szCs w:val="24"/>
                <w:lang w:val="ru-RU"/>
              </w:rPr>
              <w:t>СПОЉНЕ И УНУТРАШЊЕ ТРГОВИНЕ И ТЕЛЕКОМУНИКАЦИЈА</w:t>
            </w:r>
          </w:p>
          <w:p w:rsidR="003516A7" w:rsidRPr="003516A7" w:rsidRDefault="003516A7" w:rsidP="00412D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6A7">
              <w:rPr>
                <w:rFonts w:ascii="Times New Roman" w:hAnsi="Times New Roman"/>
                <w:sz w:val="24"/>
                <w:szCs w:val="24"/>
                <w:lang w:val="ru-RU"/>
              </w:rPr>
              <w:t>Број:</w:t>
            </w:r>
            <w:r w:rsidRPr="003516A7">
              <w:rPr>
                <w:rFonts w:ascii="Times New Roman" w:hAnsi="Times New Roman"/>
                <w:sz w:val="24"/>
                <w:szCs w:val="24"/>
              </w:rPr>
              <w:t xml:space="preserve"> 404-02-92/2013-02</w:t>
            </w:r>
          </w:p>
          <w:p w:rsidR="003516A7" w:rsidRPr="003516A7" w:rsidRDefault="003516A7" w:rsidP="00412D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16A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04.11</w:t>
            </w:r>
            <w:r w:rsidRPr="003516A7">
              <w:rPr>
                <w:rFonts w:ascii="Times New Roman" w:hAnsi="Times New Roman"/>
                <w:sz w:val="24"/>
                <w:szCs w:val="24"/>
              </w:rPr>
              <w:t xml:space="preserve">.2013. </w:t>
            </w:r>
            <w:r w:rsidRPr="003516A7">
              <w:rPr>
                <w:rFonts w:ascii="Times New Roman" w:hAnsi="Times New Roman"/>
                <w:sz w:val="24"/>
                <w:szCs w:val="24"/>
                <w:lang w:val="ru-RU"/>
              </w:rPr>
              <w:t>године</w:t>
            </w:r>
          </w:p>
          <w:p w:rsidR="003516A7" w:rsidRPr="003516A7" w:rsidRDefault="003516A7" w:rsidP="00412D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16A7">
              <w:rPr>
                <w:rFonts w:ascii="Times New Roman" w:hAnsi="Times New Roman"/>
                <w:sz w:val="24"/>
                <w:szCs w:val="24"/>
                <w:lang w:val="ru-RU"/>
              </w:rPr>
              <w:t>Немањина 22-26</w:t>
            </w:r>
          </w:p>
          <w:p w:rsidR="003516A7" w:rsidRPr="003516A7" w:rsidRDefault="003516A7" w:rsidP="00412D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16A7">
              <w:rPr>
                <w:rFonts w:ascii="Times New Roman" w:hAnsi="Times New Roman"/>
                <w:sz w:val="24"/>
                <w:szCs w:val="24"/>
                <w:lang w:val="ru-RU"/>
              </w:rPr>
              <w:t>Б е о г р а д</w:t>
            </w:r>
          </w:p>
          <w:p w:rsidR="003516A7" w:rsidRPr="003516A7" w:rsidRDefault="003516A7" w:rsidP="00412D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16A7" w:rsidRPr="003516A7" w:rsidRDefault="003516A7" w:rsidP="00412D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3516A7" w:rsidRPr="003516A7" w:rsidRDefault="003516A7" w:rsidP="003516A7">
      <w:pPr>
        <w:rPr>
          <w:rFonts w:ascii="Times New Roman" w:hAnsi="Times New Roman"/>
          <w:sz w:val="24"/>
        </w:rPr>
      </w:pPr>
    </w:p>
    <w:p w:rsidR="003516A7" w:rsidRPr="003516A7" w:rsidRDefault="003516A7" w:rsidP="003516A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3516A7">
        <w:rPr>
          <w:rFonts w:ascii="Times New Roman" w:hAnsi="Times New Roman"/>
          <w:b/>
          <w:sz w:val="24"/>
          <w:szCs w:val="24"/>
          <w:lang w:val="sr-Cyrl-CS"/>
        </w:rPr>
        <w:t>Одговор на захтев за додатне информације или појашњења у вези са припремањем пријаве</w:t>
      </w:r>
    </w:p>
    <w:p w:rsidR="003516A7" w:rsidRPr="003516A7" w:rsidRDefault="003516A7" w:rsidP="003516A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3516A7" w:rsidRPr="003516A7" w:rsidRDefault="003516A7" w:rsidP="003516A7">
      <w:pPr>
        <w:ind w:firstLine="360"/>
        <w:jc w:val="both"/>
        <w:rPr>
          <w:rFonts w:ascii="Times New Roman" w:hAnsi="Times New Roman"/>
          <w:sz w:val="24"/>
          <w:lang w:val="sr-Cyrl-CS"/>
        </w:rPr>
      </w:pPr>
      <w:r w:rsidRPr="003516A7">
        <w:rPr>
          <w:rFonts w:ascii="Times New Roman" w:hAnsi="Times New Roman"/>
          <w:sz w:val="24"/>
          <w:szCs w:val="24"/>
          <w:lang w:val="sr-Cyrl-CS"/>
        </w:rPr>
        <w:t xml:space="preserve">У складу са чланом 63. Закона о јавним набавкама („Сл. гласник РС“, бр. 124/12) достављамо вам </w:t>
      </w:r>
      <w:r w:rsidRPr="003516A7">
        <w:rPr>
          <w:rFonts w:ascii="Times New Roman" w:hAnsi="Times New Roman"/>
          <w:sz w:val="24"/>
          <w:szCs w:val="24"/>
        </w:rPr>
        <w:t xml:space="preserve">одговор на захтев за додатне информације или појашњења  </w:t>
      </w:r>
      <w:r w:rsidRPr="003516A7">
        <w:rPr>
          <w:rFonts w:ascii="Times New Roman" w:hAnsi="Times New Roman"/>
          <w:sz w:val="24"/>
          <w:szCs w:val="24"/>
          <w:lang w:val="sr-Cyrl-CS"/>
        </w:rPr>
        <w:t xml:space="preserve">у вези са припремањем понуде </w:t>
      </w:r>
      <w:r w:rsidRPr="003516A7">
        <w:rPr>
          <w:rFonts w:ascii="Times New Roman" w:hAnsi="Times New Roman"/>
          <w:sz w:val="24"/>
          <w:szCs w:val="24"/>
          <w:lang w:val="ru-RU"/>
        </w:rPr>
        <w:t xml:space="preserve">за јавну набавку </w:t>
      </w:r>
      <w:r w:rsidRPr="003516A7">
        <w:rPr>
          <w:rFonts w:ascii="Times New Roman" w:eastAsia="Times New Roman" w:hAnsi="Times New Roman"/>
          <w:sz w:val="24"/>
          <w:szCs w:val="24"/>
          <w:lang w:val="ru-RU"/>
        </w:rPr>
        <w:t>израде софтвера</w:t>
      </w:r>
      <w:r w:rsidRPr="003516A7">
        <w:rPr>
          <w:rFonts w:ascii="Times New Roman" w:eastAsia="Times New Roman" w:hAnsi="Times New Roman"/>
          <w:sz w:val="24"/>
          <w:szCs w:val="24"/>
        </w:rPr>
        <w:t xml:space="preserve"> “</w:t>
      </w:r>
      <w:r w:rsidRPr="003516A7">
        <w:rPr>
          <w:rFonts w:ascii="Times New Roman" w:eastAsia="Times New Roman" w:hAnsi="Times New Roman"/>
          <w:sz w:val="24"/>
          <w:szCs w:val="24"/>
          <w:lang w:val="ru-RU"/>
        </w:rPr>
        <w:t>Систем управљања информацијама у области ТН (тржишног надзора)</w:t>
      </w:r>
      <w:r w:rsidRPr="003516A7">
        <w:rPr>
          <w:rFonts w:ascii="Times New Roman" w:eastAsia="Times New Roman" w:hAnsi="Times New Roman"/>
          <w:sz w:val="24"/>
          <w:szCs w:val="24"/>
        </w:rPr>
        <w:t>”</w:t>
      </w:r>
      <w:r w:rsidRPr="003516A7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3516A7">
        <w:rPr>
          <w:rFonts w:ascii="Times New Roman" w:eastAsia="Times New Roman" w:hAnsi="Times New Roman"/>
          <w:sz w:val="24"/>
          <w:szCs w:val="24"/>
        </w:rPr>
        <w:t xml:space="preserve"> </w:t>
      </w:r>
      <w:r w:rsidRPr="003516A7">
        <w:rPr>
          <w:rFonts w:ascii="Times New Roman" w:eastAsia="Times New Roman" w:hAnsi="Times New Roman"/>
          <w:sz w:val="24"/>
          <w:szCs w:val="24"/>
          <w:lang w:val="sr-Cyrl-CS"/>
        </w:rPr>
        <w:t xml:space="preserve">ЈН О-35/13 и то на следећа питања: </w:t>
      </w:r>
    </w:p>
    <w:p w:rsidR="003516A7" w:rsidRPr="003516A7" w:rsidRDefault="003516A7" w:rsidP="003516A7">
      <w:pPr>
        <w:pStyle w:val="ListParagraph"/>
        <w:rPr>
          <w:rFonts w:ascii="Times New Roman" w:hAnsi="Times New Roman"/>
          <w:sz w:val="24"/>
        </w:rPr>
      </w:pPr>
    </w:p>
    <w:p w:rsidR="007F2A33" w:rsidRPr="003516A7" w:rsidRDefault="003516A7" w:rsidP="00370C91">
      <w:pPr>
        <w:pStyle w:val="ListParagraph"/>
        <w:jc w:val="both"/>
        <w:rPr>
          <w:rFonts w:ascii="Times New Roman" w:hAnsi="Times New Roman"/>
          <w:sz w:val="24"/>
        </w:rPr>
      </w:pPr>
      <w:r w:rsidRPr="003516A7">
        <w:rPr>
          <w:rFonts w:ascii="Times New Roman" w:hAnsi="Times New Roman"/>
          <w:b/>
          <w:sz w:val="24"/>
          <w:lang w:val="sr-Cyrl-CS"/>
        </w:rPr>
        <w:t>1</w:t>
      </w:r>
      <w:r w:rsidRPr="003516A7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3516A7">
        <w:rPr>
          <w:rFonts w:ascii="Times New Roman" w:hAnsi="Times New Roman"/>
          <w:b/>
          <w:sz w:val="24"/>
          <w:u w:val="single"/>
          <w:lang w:val="sr-Cyrl-CS"/>
        </w:rPr>
        <w:t>Питање</w:t>
      </w:r>
      <w:r w:rsidRPr="003516A7">
        <w:rPr>
          <w:rFonts w:ascii="Times New Roman" w:hAnsi="Times New Roman"/>
          <w:b/>
          <w:sz w:val="24"/>
          <w:lang w:val="sr-Cyrl-CS"/>
        </w:rPr>
        <w:t>: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7D1040" w:rsidRPr="003516A7">
        <w:rPr>
          <w:rFonts w:ascii="Times New Roman" w:hAnsi="Times New Roman"/>
          <w:sz w:val="24"/>
          <w:lang w:val="sr-Cyrl-CS"/>
        </w:rPr>
        <w:t>У документу Одговор 1 (Датум постављања:13/10/2013.) на захтев за додатне информације или појашњења у вези  са припремањем понуде за јавну набавку израде софтвера „Систем управљања информацијама у области ТН (тржишног надзора)“, број јавне набавке О-35/2013 на прво питање одговарате:</w:t>
      </w:r>
    </w:p>
    <w:p w:rsidR="007D1040" w:rsidRPr="003516A7" w:rsidRDefault="007D1040" w:rsidP="00370C91">
      <w:pPr>
        <w:pStyle w:val="ListParagraph"/>
        <w:jc w:val="both"/>
        <w:rPr>
          <w:rFonts w:ascii="Times New Roman" w:hAnsi="Times New Roman"/>
          <w:sz w:val="24"/>
          <w:lang w:val="sr-Cyrl-CS"/>
        </w:rPr>
      </w:pPr>
    </w:p>
    <w:p w:rsidR="007D1040" w:rsidRPr="003516A7" w:rsidRDefault="007D1040" w:rsidP="00370C91">
      <w:pPr>
        <w:pStyle w:val="ListParagraph"/>
        <w:jc w:val="both"/>
        <w:rPr>
          <w:rFonts w:ascii="Times New Roman" w:hAnsi="Times New Roman"/>
          <w:sz w:val="24"/>
          <w:lang w:val="sr-Cyrl-CS"/>
        </w:rPr>
      </w:pPr>
      <w:r w:rsidRPr="003516A7">
        <w:rPr>
          <w:rFonts w:ascii="Times New Roman" w:hAnsi="Times New Roman"/>
          <w:sz w:val="24"/>
          <w:lang w:val="sr-Cyrl-CS"/>
        </w:rPr>
        <w:t>„У вези са постављеним питањем заинтересованог лица,</w:t>
      </w:r>
      <w:r w:rsidR="007875C3" w:rsidRPr="003516A7">
        <w:rPr>
          <w:rFonts w:ascii="Times New Roman" w:hAnsi="Times New Roman"/>
          <w:sz w:val="24"/>
          <w:lang w:val="sr-Cyrl-CS"/>
        </w:rPr>
        <w:t xml:space="preserve"> </w:t>
      </w:r>
      <w:r w:rsidRPr="003516A7">
        <w:rPr>
          <w:rFonts w:ascii="Times New Roman" w:hAnsi="Times New Roman"/>
          <w:sz w:val="24"/>
          <w:lang w:val="sr-Cyrl-CS"/>
        </w:rPr>
        <w:t>а у циљу да обезбеди учешће што већег броја понуђача у предметном поступку јавне набавке и добијања најповољније понуде путем што је могуће веће конкуренције, Наручилац одустаје од елемената критеријума: рефер</w:t>
      </w:r>
      <w:r w:rsidR="007875C3" w:rsidRPr="003516A7">
        <w:rPr>
          <w:rFonts w:ascii="Times New Roman" w:hAnsi="Times New Roman"/>
          <w:sz w:val="24"/>
          <w:lang w:val="sr-Cyrl-CS"/>
        </w:rPr>
        <w:t>е</w:t>
      </w:r>
      <w:r w:rsidRPr="003516A7">
        <w:rPr>
          <w:rFonts w:ascii="Times New Roman" w:hAnsi="Times New Roman"/>
          <w:sz w:val="24"/>
          <w:lang w:val="sr-Cyrl-CS"/>
        </w:rPr>
        <w:t>нца – референца за развој и имплементацију софтверског решења за рад инспекцијских органа ( у земљи или иностранству) – 10 пондера.</w:t>
      </w:r>
    </w:p>
    <w:p w:rsidR="007875C3" w:rsidRPr="003516A7" w:rsidRDefault="007875C3" w:rsidP="00370C91">
      <w:pPr>
        <w:pStyle w:val="ListParagraph"/>
        <w:jc w:val="both"/>
        <w:rPr>
          <w:rFonts w:ascii="Times New Roman" w:hAnsi="Times New Roman"/>
          <w:sz w:val="24"/>
          <w:lang w:val="sr-Cyrl-CS"/>
        </w:rPr>
      </w:pPr>
    </w:p>
    <w:p w:rsidR="007875C3" w:rsidRPr="003516A7" w:rsidRDefault="007875C3" w:rsidP="00370C91">
      <w:pPr>
        <w:pStyle w:val="ListParagraph"/>
        <w:jc w:val="both"/>
        <w:rPr>
          <w:rFonts w:ascii="Times New Roman" w:hAnsi="Times New Roman"/>
          <w:sz w:val="24"/>
          <w:lang w:val="sr-Cyrl-CS"/>
        </w:rPr>
      </w:pPr>
      <w:r w:rsidRPr="003516A7">
        <w:rPr>
          <w:rFonts w:ascii="Times New Roman" w:hAnsi="Times New Roman"/>
          <w:sz w:val="24"/>
          <w:lang w:val="sr-Cyrl-CS"/>
        </w:rPr>
        <w:t>Избор најповољније понуде и додела уговора у предметном поступку јавне набавке биће извршена према критеријуму најнижа понуђена цена.</w:t>
      </w:r>
    </w:p>
    <w:p w:rsidR="007875C3" w:rsidRPr="003516A7" w:rsidRDefault="007875C3" w:rsidP="007D1040">
      <w:pPr>
        <w:pStyle w:val="ListParagraph"/>
        <w:rPr>
          <w:rFonts w:ascii="Times New Roman" w:hAnsi="Times New Roman"/>
          <w:sz w:val="24"/>
          <w:lang w:val="sr-Cyrl-CS"/>
        </w:rPr>
      </w:pPr>
    </w:p>
    <w:p w:rsidR="007875C3" w:rsidRPr="003516A7" w:rsidRDefault="007875C3" w:rsidP="00370C91">
      <w:pPr>
        <w:pStyle w:val="ListParagraph"/>
        <w:jc w:val="both"/>
        <w:rPr>
          <w:rFonts w:ascii="Times New Roman" w:hAnsi="Times New Roman"/>
          <w:sz w:val="24"/>
          <w:lang w:val="sr-Cyrl-CS"/>
        </w:rPr>
      </w:pPr>
      <w:r w:rsidRPr="003516A7">
        <w:rPr>
          <w:rFonts w:ascii="Times New Roman" w:hAnsi="Times New Roman"/>
          <w:sz w:val="24"/>
          <w:lang w:val="sr-Cyrl-CS"/>
        </w:rPr>
        <w:t>У вези са горе наведеним Наручилац ће извршити и измену конкурсне документације за јавну набавку израде софтвера „Систем управљања информацијама у области ТН (тржишног надзора)“, број јавне набавке О-35/2013.</w:t>
      </w:r>
    </w:p>
    <w:p w:rsidR="007875C3" w:rsidRPr="003516A7" w:rsidRDefault="007875C3" w:rsidP="00370C91">
      <w:pPr>
        <w:pStyle w:val="ListParagraph"/>
        <w:jc w:val="both"/>
        <w:rPr>
          <w:rFonts w:ascii="Times New Roman" w:hAnsi="Times New Roman"/>
          <w:sz w:val="24"/>
          <w:lang w:val="sr-Cyrl-CS"/>
        </w:rPr>
      </w:pPr>
    </w:p>
    <w:p w:rsidR="007875C3" w:rsidRPr="003516A7" w:rsidRDefault="007875C3" w:rsidP="00370C91">
      <w:pPr>
        <w:pStyle w:val="ListParagraph"/>
        <w:jc w:val="both"/>
        <w:rPr>
          <w:rFonts w:ascii="Times New Roman" w:hAnsi="Times New Roman"/>
          <w:sz w:val="24"/>
          <w:lang w:val="sr-Cyrl-CS"/>
        </w:rPr>
      </w:pPr>
      <w:r w:rsidRPr="003516A7">
        <w:rPr>
          <w:rFonts w:ascii="Times New Roman" w:hAnsi="Times New Roman"/>
          <w:sz w:val="24"/>
          <w:lang w:val="sr-Cyrl-CS"/>
        </w:rPr>
        <w:t>Према препорукама Министарства Финансија у вези Јавних Набавки јасно стоји:</w:t>
      </w:r>
    </w:p>
    <w:p w:rsidR="007875C3" w:rsidRPr="003516A7" w:rsidRDefault="007875C3" w:rsidP="00370C91">
      <w:pPr>
        <w:pStyle w:val="ListParagraph"/>
        <w:jc w:val="both"/>
        <w:rPr>
          <w:rFonts w:ascii="Times New Roman" w:hAnsi="Times New Roman"/>
          <w:sz w:val="24"/>
        </w:rPr>
      </w:pPr>
      <w:r w:rsidRPr="003516A7">
        <w:rPr>
          <w:rFonts w:ascii="Times New Roman" w:hAnsi="Times New Roman"/>
          <w:sz w:val="24"/>
          <w:lang w:val="sr-Cyrl-CS"/>
        </w:rPr>
        <w:t xml:space="preserve">„ Да би добио такве понуде, наручилац мора да критеријумима као што су квалитет, одржавање, гарантни рокови итд. </w:t>
      </w:r>
      <w:r w:rsidR="00E72FBD" w:rsidRPr="003516A7">
        <w:rPr>
          <w:rFonts w:ascii="Times New Roman" w:hAnsi="Times New Roman"/>
          <w:sz w:val="24"/>
          <w:lang w:val="sr-Cyrl-CS"/>
        </w:rPr>
        <w:t>д</w:t>
      </w:r>
      <w:r w:rsidRPr="003516A7">
        <w:rPr>
          <w:rFonts w:ascii="Times New Roman" w:hAnsi="Times New Roman"/>
          <w:sz w:val="24"/>
          <w:lang w:val="sr-Cyrl-CS"/>
        </w:rPr>
        <w:t>о</w:t>
      </w:r>
      <w:r w:rsidR="00E72FBD" w:rsidRPr="003516A7">
        <w:rPr>
          <w:rFonts w:ascii="Times New Roman" w:hAnsi="Times New Roman"/>
          <w:sz w:val="24"/>
          <w:lang w:val="sr-Cyrl-CS"/>
        </w:rPr>
        <w:t>д</w:t>
      </w:r>
      <w:r w:rsidRPr="003516A7">
        <w:rPr>
          <w:rFonts w:ascii="Times New Roman" w:hAnsi="Times New Roman"/>
          <w:sz w:val="24"/>
          <w:lang w:val="sr-Cyrl-CS"/>
        </w:rPr>
        <w:t>ели такве пондере који ће на најбољи начин одсликавати његове стварне потребе. У супротном, добиће мање квалитетне понуд</w:t>
      </w:r>
      <w:r w:rsidR="00E72FBD" w:rsidRPr="003516A7">
        <w:rPr>
          <w:rFonts w:ascii="Times New Roman" w:hAnsi="Times New Roman"/>
          <w:sz w:val="24"/>
          <w:lang w:val="sr-Cyrl-CS"/>
        </w:rPr>
        <w:t>е, с обзиром да понуђачи формира</w:t>
      </w:r>
      <w:r w:rsidRPr="003516A7">
        <w:rPr>
          <w:rFonts w:ascii="Times New Roman" w:hAnsi="Times New Roman"/>
          <w:sz w:val="24"/>
          <w:lang w:val="sr-Cyrl-CS"/>
        </w:rPr>
        <w:t>ју своје понуде у складу са критеријумима и пондерима који су дефинисани у конкурсној документацији.</w:t>
      </w:r>
      <w:r w:rsidR="00E72FBD" w:rsidRPr="003516A7">
        <w:rPr>
          <w:rFonts w:ascii="Times New Roman" w:hAnsi="Times New Roman"/>
          <w:sz w:val="24"/>
          <w:lang w:val="sr-Cyrl-CS"/>
        </w:rPr>
        <w:t xml:space="preserve"> Произлази да, што наручилац изврши боље вредновање (опредељивање броја пондера) свих за њега битних критеријума, то је извесније да ће добити понуде које ће на прави начин задовољавати његове потребе.</w:t>
      </w:r>
    </w:p>
    <w:p w:rsidR="003938B6" w:rsidRPr="003516A7" w:rsidRDefault="003938B6" w:rsidP="00370C91">
      <w:pPr>
        <w:pStyle w:val="ListParagraph"/>
        <w:jc w:val="both"/>
        <w:rPr>
          <w:rFonts w:ascii="Times New Roman" w:hAnsi="Times New Roman"/>
          <w:sz w:val="24"/>
        </w:rPr>
      </w:pPr>
    </w:p>
    <w:p w:rsidR="003938B6" w:rsidRPr="003516A7" w:rsidRDefault="00DB3D0F" w:rsidP="00370C91">
      <w:pPr>
        <w:pStyle w:val="ListParagraph"/>
        <w:jc w:val="both"/>
        <w:rPr>
          <w:rFonts w:ascii="Times New Roman" w:hAnsi="Times New Roman"/>
          <w:sz w:val="24"/>
          <w:lang w:val="sr-Cyrl-CS"/>
        </w:rPr>
      </w:pPr>
      <w:r w:rsidRPr="003516A7">
        <w:rPr>
          <w:rFonts w:ascii="Times New Roman" w:hAnsi="Times New Roman"/>
          <w:sz w:val="24"/>
          <w:lang w:val="sr-Cyrl-CS"/>
        </w:rPr>
        <w:t>Цена треба да буде критеријум са највећим пондером само у оним случајевима када се ради о набавци високостандардизованих производа код којих нема већих разлика у погледу осталих критеријума, као што су својства, квалитет итд“</w:t>
      </w:r>
    </w:p>
    <w:p w:rsidR="002C7527" w:rsidRPr="003516A7" w:rsidRDefault="002C7527" w:rsidP="00370C91">
      <w:pPr>
        <w:pStyle w:val="ListParagraph"/>
        <w:jc w:val="both"/>
        <w:rPr>
          <w:rFonts w:ascii="Times New Roman" w:hAnsi="Times New Roman"/>
          <w:sz w:val="24"/>
          <w:lang w:val="sr-Cyrl-CS"/>
        </w:rPr>
      </w:pPr>
    </w:p>
    <w:p w:rsidR="002C7527" w:rsidRPr="003516A7" w:rsidRDefault="002C7527" w:rsidP="00370C91">
      <w:pPr>
        <w:pStyle w:val="ListParagraph"/>
        <w:jc w:val="both"/>
        <w:rPr>
          <w:rFonts w:ascii="Times New Roman" w:hAnsi="Times New Roman"/>
          <w:sz w:val="24"/>
          <w:lang w:val="sr-Cyrl-CS"/>
        </w:rPr>
      </w:pPr>
      <w:r w:rsidRPr="003516A7">
        <w:rPr>
          <w:rFonts w:ascii="Times New Roman" w:hAnsi="Times New Roman"/>
          <w:sz w:val="24"/>
          <w:lang w:val="sr-Cyrl-CS"/>
        </w:rPr>
        <w:t>Пошто је реч о изради нестандарног софтвера јасно је да одлука да критеријуму најнижа понуђена цена није у складу са препорукама министарства.</w:t>
      </w:r>
    </w:p>
    <w:p w:rsidR="002C7527" w:rsidRPr="003516A7" w:rsidRDefault="002C7527" w:rsidP="00370C91">
      <w:pPr>
        <w:pStyle w:val="ListParagraph"/>
        <w:jc w:val="both"/>
        <w:rPr>
          <w:rFonts w:ascii="Times New Roman" w:hAnsi="Times New Roman"/>
          <w:sz w:val="24"/>
          <w:lang w:val="sr-Cyrl-CS"/>
        </w:rPr>
      </w:pPr>
    </w:p>
    <w:p w:rsidR="000F2E66" w:rsidRPr="003516A7" w:rsidRDefault="002C7527" w:rsidP="00370C91">
      <w:pPr>
        <w:pStyle w:val="ListParagraph"/>
        <w:jc w:val="both"/>
        <w:rPr>
          <w:rFonts w:ascii="Times New Roman" w:hAnsi="Times New Roman"/>
          <w:sz w:val="24"/>
          <w:lang w:val="sr-Cyrl-CS"/>
        </w:rPr>
      </w:pPr>
      <w:r w:rsidRPr="003516A7">
        <w:rPr>
          <w:rFonts w:ascii="Times New Roman" w:hAnsi="Times New Roman"/>
          <w:sz w:val="24"/>
          <w:lang w:val="sr-Cyrl-CS"/>
        </w:rPr>
        <w:t>Такође, да ли сматрате да се одустајањем од овог услова, а инсистирањем на</w:t>
      </w:r>
      <w:r w:rsidRPr="003516A7">
        <w:rPr>
          <w:rFonts w:ascii="Times New Roman" w:hAnsi="Times New Roman"/>
          <w:sz w:val="24"/>
        </w:rPr>
        <w:t xml:space="preserve"> ISO20001 </w:t>
      </w:r>
      <w:r w:rsidRPr="003516A7">
        <w:rPr>
          <w:rFonts w:ascii="Times New Roman" w:hAnsi="Times New Roman"/>
          <w:sz w:val="24"/>
          <w:lang w:val="sr-Cyrl-CS"/>
        </w:rPr>
        <w:t>сертификату као елиминишућем фактора постигао циљ који наводите – „ да обезбеди учешће што већег броја понуђача у предметном поступку јавне набавке и добијање најповољније понуде путем што је могуће веће конкуренције“ или у већој мери угрожава</w:t>
      </w:r>
      <w:r w:rsidR="000F2E66" w:rsidRPr="003516A7">
        <w:rPr>
          <w:rFonts w:ascii="Times New Roman" w:hAnsi="Times New Roman"/>
          <w:sz w:val="24"/>
          <w:lang w:val="sr-Cyrl-CS"/>
        </w:rPr>
        <w:t xml:space="preserve"> права понуђача да учествују у ЈН добара – израде софтвера </w:t>
      </w:r>
      <w:r w:rsidRPr="003516A7">
        <w:rPr>
          <w:rFonts w:ascii="Times New Roman" w:hAnsi="Times New Roman"/>
          <w:sz w:val="24"/>
          <w:lang w:val="sr-Cyrl-CS"/>
        </w:rPr>
        <w:t xml:space="preserve"> </w:t>
      </w:r>
      <w:r w:rsidR="000F2E66" w:rsidRPr="003516A7">
        <w:rPr>
          <w:rFonts w:ascii="Times New Roman" w:hAnsi="Times New Roman"/>
          <w:sz w:val="24"/>
          <w:lang w:val="sr-Cyrl-CS"/>
        </w:rPr>
        <w:t>„Систем управљања информацијама у области ТН (тржишног надзора)“, број јавне набавке О-35/2013</w:t>
      </w:r>
      <w:r w:rsidR="000F2E66" w:rsidRPr="003516A7">
        <w:rPr>
          <w:rFonts w:ascii="Times New Roman" w:hAnsi="Times New Roman"/>
          <w:sz w:val="24"/>
        </w:rPr>
        <w:t>?</w:t>
      </w:r>
    </w:p>
    <w:p w:rsidR="00C56B0F" w:rsidRDefault="00C56B0F" w:rsidP="00370C91">
      <w:pPr>
        <w:pStyle w:val="ListParagraph"/>
        <w:jc w:val="both"/>
        <w:rPr>
          <w:rFonts w:ascii="Times New Roman" w:hAnsi="Times New Roman"/>
          <w:sz w:val="24"/>
          <w:lang w:val="sr-Cyrl-CS"/>
        </w:rPr>
      </w:pPr>
      <w:r w:rsidRPr="003516A7">
        <w:rPr>
          <w:rFonts w:ascii="Times New Roman" w:hAnsi="Times New Roman"/>
          <w:sz w:val="24"/>
          <w:lang w:val="sr-Cyrl-CS"/>
        </w:rPr>
        <w:t xml:space="preserve">Захтевање </w:t>
      </w:r>
      <w:r w:rsidRPr="003516A7">
        <w:rPr>
          <w:rFonts w:ascii="Times New Roman" w:hAnsi="Times New Roman"/>
          <w:sz w:val="24"/>
        </w:rPr>
        <w:t>ISO20001</w:t>
      </w:r>
      <w:r w:rsidRPr="003516A7">
        <w:rPr>
          <w:rFonts w:ascii="Times New Roman" w:hAnsi="Times New Roman"/>
          <w:sz w:val="24"/>
          <w:lang w:val="sr-Cyrl-CS"/>
        </w:rPr>
        <w:t xml:space="preserve"> сертификата као елиминишућег </w:t>
      </w:r>
      <w:r w:rsidR="00A303C0" w:rsidRPr="003516A7">
        <w:rPr>
          <w:rFonts w:ascii="Times New Roman" w:hAnsi="Times New Roman"/>
          <w:sz w:val="24"/>
          <w:lang w:val="sr-Cyrl-CS"/>
        </w:rPr>
        <w:t>фактора представља изразити дискриминаторски услов који онемогућава остале многобројне понуђача да дају испарвну понуду, а да се избор инсистирањем на овом међустандарду из 2011. године своди на само две валидне понуде, чиме се занем</w:t>
      </w:r>
      <w:r w:rsidR="00532329" w:rsidRPr="003516A7">
        <w:rPr>
          <w:rFonts w:ascii="Times New Roman" w:hAnsi="Times New Roman"/>
          <w:sz w:val="24"/>
          <w:lang w:val="sr-Cyrl-CS"/>
        </w:rPr>
        <w:t>а</w:t>
      </w:r>
      <w:r w:rsidR="00A303C0" w:rsidRPr="003516A7">
        <w:rPr>
          <w:rFonts w:ascii="Times New Roman" w:hAnsi="Times New Roman"/>
          <w:sz w:val="24"/>
          <w:lang w:val="sr-Cyrl-CS"/>
        </w:rPr>
        <w:t>рује основн</w:t>
      </w:r>
      <w:r w:rsidR="00532329" w:rsidRPr="003516A7">
        <w:rPr>
          <w:rFonts w:ascii="Times New Roman" w:hAnsi="Times New Roman"/>
          <w:sz w:val="24"/>
          <w:lang w:val="sr-Cyrl-CS"/>
        </w:rPr>
        <w:t>и</w:t>
      </w:r>
      <w:r w:rsidR="00A303C0" w:rsidRPr="003516A7">
        <w:rPr>
          <w:rFonts w:ascii="Times New Roman" w:hAnsi="Times New Roman"/>
          <w:sz w:val="24"/>
          <w:lang w:val="sr-Cyrl-CS"/>
        </w:rPr>
        <w:t xml:space="preserve"> циљ јавне набавке да наручилац изабере понуду која ће на најбољи начин задовољити његове потребе како по својим својствима и квалитетом и по одговарајућој цени.</w:t>
      </w:r>
    </w:p>
    <w:p w:rsidR="003516A7" w:rsidRDefault="003516A7" w:rsidP="000F2E66">
      <w:pPr>
        <w:pStyle w:val="ListParagraph"/>
        <w:rPr>
          <w:rFonts w:ascii="Times New Roman" w:hAnsi="Times New Roman"/>
          <w:b/>
          <w:sz w:val="24"/>
          <w:u w:val="single"/>
          <w:lang w:val="sr-Cyrl-CS"/>
        </w:rPr>
      </w:pPr>
      <w:r w:rsidRPr="003516A7">
        <w:rPr>
          <w:rFonts w:ascii="Times New Roman" w:hAnsi="Times New Roman"/>
          <w:b/>
          <w:sz w:val="24"/>
          <w:u w:val="single"/>
          <w:lang w:val="sr-Cyrl-CS"/>
        </w:rPr>
        <w:t>Одговор:</w:t>
      </w:r>
    </w:p>
    <w:p w:rsidR="002C5832" w:rsidRDefault="00370C91" w:rsidP="00F00865">
      <w:pPr>
        <w:pStyle w:val="ListParagraph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Наруч</w:t>
      </w:r>
      <w:r w:rsidR="002C5832">
        <w:rPr>
          <w:rFonts w:ascii="Times New Roman" w:hAnsi="Times New Roman"/>
          <w:sz w:val="24"/>
          <w:lang w:val="sr-Cyrl-CS"/>
        </w:rPr>
        <w:t xml:space="preserve">илац је у обавези да се о врсти и одређивању критеријума за доделу уговора, искључиво руководи Законом о јавним набавкама, (чл. 84. ЗНЈ и члан 85. ЗНЈ), а имајући у виду </w:t>
      </w:r>
      <w:r>
        <w:rPr>
          <w:rFonts w:ascii="Times New Roman" w:hAnsi="Times New Roman"/>
          <w:sz w:val="24"/>
          <w:lang w:val="sr-Cyrl-CS"/>
        </w:rPr>
        <w:t>предмет јавне набавке</w:t>
      </w:r>
      <w:r w:rsidR="002C5832">
        <w:rPr>
          <w:rFonts w:ascii="Times New Roman" w:hAnsi="Times New Roman"/>
          <w:sz w:val="24"/>
          <w:lang w:val="sr-Cyrl-CS"/>
        </w:rPr>
        <w:t>.</w:t>
      </w:r>
    </w:p>
    <w:p w:rsidR="002C5832" w:rsidRPr="002C5832" w:rsidRDefault="002C5832" w:rsidP="00F00865">
      <w:pPr>
        <w:pStyle w:val="ListParagraph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У предметној јавној набавци, Наручилац је поступао према горе наведеном.</w:t>
      </w:r>
    </w:p>
    <w:p w:rsidR="00532329" w:rsidRPr="003516A7" w:rsidRDefault="00532329" w:rsidP="00F00865">
      <w:pPr>
        <w:pStyle w:val="ListParagraph"/>
        <w:jc w:val="both"/>
        <w:rPr>
          <w:rFonts w:ascii="Times New Roman" w:hAnsi="Times New Roman"/>
          <w:sz w:val="24"/>
          <w:lang w:val="sr-Cyrl-CS"/>
        </w:rPr>
      </w:pPr>
    </w:p>
    <w:p w:rsidR="00532329" w:rsidRDefault="003516A7" w:rsidP="00F0086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lang w:val="sr-Cyrl-CS"/>
        </w:rPr>
      </w:pPr>
      <w:r w:rsidRPr="003516A7">
        <w:rPr>
          <w:rFonts w:ascii="Times New Roman" w:hAnsi="Times New Roman"/>
          <w:b/>
          <w:sz w:val="24"/>
          <w:u w:val="single"/>
          <w:lang w:val="sr-Cyrl-CS"/>
        </w:rPr>
        <w:t>Питање</w:t>
      </w:r>
      <w:r>
        <w:rPr>
          <w:rFonts w:ascii="Times New Roman" w:hAnsi="Times New Roman"/>
          <w:sz w:val="24"/>
          <w:lang w:val="sr-Cyrl-CS"/>
        </w:rPr>
        <w:t>:</w:t>
      </w:r>
      <w:r w:rsidR="00BD040A">
        <w:rPr>
          <w:rFonts w:ascii="Times New Roman" w:hAnsi="Times New Roman"/>
          <w:sz w:val="24"/>
          <w:lang w:val="sr-Cyrl-CS"/>
        </w:rPr>
        <w:t xml:space="preserve"> </w:t>
      </w:r>
      <w:r w:rsidR="00532329" w:rsidRPr="003516A7">
        <w:rPr>
          <w:rFonts w:ascii="Times New Roman" w:hAnsi="Times New Roman"/>
          <w:sz w:val="24"/>
          <w:lang w:val="sr-Cyrl-CS"/>
        </w:rPr>
        <w:t>Да ли сматрате да упућивање и навођење понуђача на заједничке понуде у документу Одговор 4</w:t>
      </w:r>
      <w:r w:rsidR="00532329" w:rsidRPr="003516A7">
        <w:rPr>
          <w:rFonts w:ascii="Times New Roman" w:hAnsi="Times New Roman"/>
          <w:sz w:val="24"/>
        </w:rPr>
        <w:t xml:space="preserve"> </w:t>
      </w:r>
      <w:r w:rsidR="00532329" w:rsidRPr="003516A7">
        <w:rPr>
          <w:rFonts w:ascii="Times New Roman" w:hAnsi="Times New Roman"/>
          <w:sz w:val="24"/>
          <w:lang w:val="sr-Cyrl-CS"/>
        </w:rPr>
        <w:t>(Датум постављања:25/10/2013.) доводи заинтересоване понуђаче у подређени положај и угрожава њихову једнакост</w:t>
      </w:r>
      <w:r w:rsidR="00532329" w:rsidRPr="003516A7">
        <w:rPr>
          <w:rFonts w:ascii="Times New Roman" w:hAnsi="Times New Roman"/>
          <w:sz w:val="24"/>
        </w:rPr>
        <w:t>?</w:t>
      </w:r>
    </w:p>
    <w:p w:rsidR="003516A7" w:rsidRPr="003516A7" w:rsidRDefault="003516A7" w:rsidP="00F00865">
      <w:pPr>
        <w:pStyle w:val="ListParagraph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b/>
          <w:sz w:val="24"/>
          <w:u w:val="single"/>
          <w:lang w:val="sr-Cyrl-CS"/>
        </w:rPr>
        <w:t>Одговор</w:t>
      </w:r>
      <w:r w:rsidRPr="003516A7">
        <w:rPr>
          <w:rFonts w:ascii="Times New Roman" w:hAnsi="Times New Roman"/>
          <w:sz w:val="24"/>
          <w:lang w:val="sr-Cyrl-CS"/>
        </w:rPr>
        <w:t>:</w:t>
      </w:r>
    </w:p>
    <w:p w:rsidR="002C7527" w:rsidRPr="003516A7" w:rsidRDefault="00F00865" w:rsidP="00F00865">
      <w:pPr>
        <w:pStyle w:val="ListParagraph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Наручилац је у обавези  да се при спровођењу јавне набавке придржава Закона о јавним набавкама, што је случај и са институтом „заједничка понуда“ – члан 81. ЗНЈ, те ослањање на одредбе истог при састављању конкурсне документације, не може водити ка подређеном положају понуђача, односно угрожавању њихових права.</w:t>
      </w:r>
    </w:p>
    <w:sectPr w:rsidR="002C7527" w:rsidRPr="003516A7" w:rsidSect="00B352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043BE"/>
    <w:multiLevelType w:val="hybridMultilevel"/>
    <w:tmpl w:val="496402C0"/>
    <w:lvl w:ilvl="0" w:tplc="D5581A32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F4B6811"/>
    <w:multiLevelType w:val="hybridMultilevel"/>
    <w:tmpl w:val="85989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D1040"/>
    <w:rsid w:val="000F2E66"/>
    <w:rsid w:val="00223E29"/>
    <w:rsid w:val="002C5832"/>
    <w:rsid w:val="002C7527"/>
    <w:rsid w:val="003516A7"/>
    <w:rsid w:val="00370C91"/>
    <w:rsid w:val="003938B6"/>
    <w:rsid w:val="00532329"/>
    <w:rsid w:val="0075172E"/>
    <w:rsid w:val="0076029F"/>
    <w:rsid w:val="007766B2"/>
    <w:rsid w:val="007875C3"/>
    <w:rsid w:val="007D1040"/>
    <w:rsid w:val="00A303C0"/>
    <w:rsid w:val="00B3528A"/>
    <w:rsid w:val="00B42726"/>
    <w:rsid w:val="00BD040A"/>
    <w:rsid w:val="00C535C4"/>
    <w:rsid w:val="00C56B0F"/>
    <w:rsid w:val="00D71D67"/>
    <w:rsid w:val="00DB3D0F"/>
    <w:rsid w:val="00E72FBD"/>
    <w:rsid w:val="00F0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0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6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6B2A2-945E-4DD2-ADF4-9F7EF3ED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Ministartvo za unutrasnju i spoljnu trgovinu i tel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5</cp:revision>
  <dcterms:created xsi:type="dcterms:W3CDTF">2013-11-04T14:24:00Z</dcterms:created>
  <dcterms:modified xsi:type="dcterms:W3CDTF">2013-11-04T15:27:00Z</dcterms:modified>
</cp:coreProperties>
</file>